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587F49">
      <w:pPr>
        <w:bidi w:val="0"/>
        <w:spacing w:after="0"/>
        <w:rPr>
          <w:rFonts w:ascii="Times New Roman" w:hAnsi="Times New Roman" w:cstheme="majorBidi"/>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TOCHeading"/>
            <w:rPr>
              <w:rFonts w:ascii="Times New Roman" w:hAnsi="Times New Roman"/>
              <w:b/>
              <w:bCs/>
              <w:color w:val="C00000"/>
            </w:rPr>
          </w:pPr>
          <w:r w:rsidRPr="004A133C">
            <w:rPr>
              <w:rFonts w:ascii="Times New Roman" w:hAnsi="Times New Roman"/>
              <w:b/>
              <w:bCs/>
              <w:color w:val="C00000"/>
            </w:rPr>
            <w:t>Table of Contents</w:t>
          </w:r>
        </w:p>
        <w:p w14:paraId="5CB407A5" w14:textId="21301129" w:rsidR="00C769C6" w:rsidRDefault="007905E8" w:rsidP="00F8251E">
          <w:pPr>
            <w:pStyle w:val="TOC1"/>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3</w:t>
            </w:r>
            <w:r w:rsidR="00C769C6">
              <w:rPr>
                <w:rStyle w:val="Hyperlink"/>
                <w:noProof/>
                <w:rtl/>
              </w:rPr>
              <w:fldChar w:fldCharType="end"/>
            </w:r>
          </w:hyperlink>
        </w:p>
        <w:p w14:paraId="01962BD2" w14:textId="7F9977AE" w:rsidR="00C769C6" w:rsidRDefault="0053196F" w:rsidP="00C769C6">
          <w:pPr>
            <w:pStyle w:val="TOC1"/>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4</w:t>
            </w:r>
            <w:r w:rsidR="00C769C6">
              <w:rPr>
                <w:rStyle w:val="Hyperlink"/>
                <w:noProof/>
                <w:rtl/>
              </w:rPr>
              <w:fldChar w:fldCharType="end"/>
            </w:r>
          </w:hyperlink>
        </w:p>
        <w:p w14:paraId="791BD9D2" w14:textId="0BDB9A6D" w:rsidR="00C769C6" w:rsidRDefault="0053196F" w:rsidP="00C769C6">
          <w:pPr>
            <w:pStyle w:val="TOC1"/>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3C8058E2" w14:textId="1ADBF065" w:rsidR="00C769C6" w:rsidRDefault="0053196F" w:rsidP="004E5CB6">
          <w:pPr>
            <w:pStyle w:val="TOC2"/>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5</w:t>
            </w:r>
            <w:r w:rsidR="00C769C6">
              <w:rPr>
                <w:rStyle w:val="Hyperlink"/>
                <w:noProof/>
                <w:rtl/>
              </w:rPr>
              <w:fldChar w:fldCharType="end"/>
            </w:r>
          </w:hyperlink>
        </w:p>
        <w:p w14:paraId="22DEA467" w14:textId="1EE7505F" w:rsidR="00C769C6" w:rsidRDefault="0053196F" w:rsidP="004E5CB6">
          <w:pPr>
            <w:pStyle w:val="TOC2"/>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10</w:t>
            </w:r>
            <w:r w:rsidR="00C769C6">
              <w:rPr>
                <w:rStyle w:val="Hyperlink"/>
                <w:noProof/>
                <w:rtl/>
              </w:rPr>
              <w:fldChar w:fldCharType="end"/>
            </w:r>
          </w:hyperlink>
        </w:p>
        <w:p w14:paraId="5255D623" w14:textId="3230FB64" w:rsidR="00C769C6" w:rsidRDefault="0053196F" w:rsidP="00C769C6">
          <w:pPr>
            <w:pStyle w:val="TOC1"/>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14</w:t>
            </w:r>
            <w:r w:rsidR="00C769C6">
              <w:rPr>
                <w:rStyle w:val="Hyperlink"/>
                <w:noProof/>
                <w:rtl/>
              </w:rPr>
              <w:fldChar w:fldCharType="end"/>
            </w:r>
          </w:hyperlink>
        </w:p>
        <w:p w14:paraId="4204EAEF" w14:textId="6956DB38" w:rsidR="00C769C6" w:rsidRDefault="0053196F" w:rsidP="00C769C6">
          <w:pPr>
            <w:pStyle w:val="TOC1"/>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15</w:t>
            </w:r>
            <w:r w:rsidR="00C769C6">
              <w:rPr>
                <w:rStyle w:val="Hyperlink"/>
                <w:noProof/>
                <w:rtl/>
              </w:rPr>
              <w:fldChar w:fldCharType="end"/>
            </w:r>
          </w:hyperlink>
        </w:p>
        <w:p w14:paraId="51B5B415" w14:textId="54BAA068" w:rsidR="00C769C6" w:rsidRDefault="0053196F" w:rsidP="00C769C6">
          <w:pPr>
            <w:pStyle w:val="TOC1"/>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16</w:t>
            </w:r>
            <w:r w:rsidR="00C769C6">
              <w:rPr>
                <w:rStyle w:val="Hyperlink"/>
                <w:noProof/>
                <w:rtl/>
              </w:rPr>
              <w:fldChar w:fldCharType="end"/>
            </w:r>
          </w:hyperlink>
        </w:p>
        <w:p w14:paraId="42CA5AA0" w14:textId="5D1EA6F9" w:rsidR="00C769C6" w:rsidRDefault="0053196F" w:rsidP="00C769C6">
          <w:pPr>
            <w:pStyle w:val="TOC1"/>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19</w:t>
            </w:r>
            <w:r w:rsidR="00C769C6">
              <w:rPr>
                <w:rStyle w:val="Hyperlink"/>
                <w:noProof/>
                <w:rtl/>
              </w:rPr>
              <w:fldChar w:fldCharType="end"/>
            </w:r>
          </w:hyperlink>
        </w:p>
        <w:p w14:paraId="68039386" w14:textId="08F78D15" w:rsidR="00C769C6" w:rsidRDefault="0053196F" w:rsidP="00C769C6">
          <w:pPr>
            <w:pStyle w:val="TOC1"/>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23</w:t>
            </w:r>
            <w:r w:rsidR="00C769C6">
              <w:rPr>
                <w:rStyle w:val="Hyperlink"/>
                <w:noProof/>
                <w:rtl/>
              </w:rPr>
              <w:fldChar w:fldCharType="end"/>
            </w:r>
          </w:hyperlink>
        </w:p>
        <w:p w14:paraId="6C3F6EFE" w14:textId="4BE3D772" w:rsidR="00C769C6" w:rsidRDefault="0053196F" w:rsidP="00C769C6">
          <w:pPr>
            <w:pStyle w:val="TOC1"/>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25</w:t>
            </w:r>
            <w:r w:rsidR="00C769C6">
              <w:rPr>
                <w:rStyle w:val="Hyperlink"/>
                <w:noProof/>
                <w:rtl/>
              </w:rPr>
              <w:fldChar w:fldCharType="end"/>
            </w:r>
          </w:hyperlink>
        </w:p>
        <w:p w14:paraId="5891F504" w14:textId="19268746" w:rsidR="00C769C6" w:rsidRDefault="0053196F" w:rsidP="00C769C6">
          <w:pPr>
            <w:pStyle w:val="TOC1"/>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C01F57">
              <w:rPr>
                <w:noProof/>
                <w:webHidden/>
              </w:rPr>
              <w:t>27</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Heading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NoSpacing"/>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NoSpacing"/>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NoSpacing"/>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NoSpacing"/>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to enhance the credibility, objectivity and accuracy of the evaluation.</w:t>
      </w:r>
    </w:p>
    <w:p w14:paraId="62F885B7" w14:textId="4E4D5E97" w:rsidR="00FE0219" w:rsidRPr="004A133C" w:rsidRDefault="00FE0219" w:rsidP="003B50ED">
      <w:pPr>
        <w:pStyle w:val="NoSpacing"/>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Heading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NoSpacing"/>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NoSpacing"/>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NoSpacing"/>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NoSpacing"/>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NoSpacing"/>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NoSpacing"/>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NoSpacing"/>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Heading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Heading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ListParagraph"/>
              <w:numPr>
                <w:ilvl w:val="0"/>
                <w:numId w:val="7"/>
              </w:numPr>
              <w:bidi w:val="0"/>
              <w:spacing w:after="0"/>
              <w:ind w:left="125" w:hanging="176"/>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ListParagraph"/>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ListParagraph"/>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niversity and is implemented in the light of specific performance indicators, at a good level and on a regular basis, and there is sufficient evidence to do so. It is subject to periodic monitoring,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Heading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TableGrid"/>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the sufficient number of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lastRenderedPageBreak/>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lastRenderedPageBreak/>
        <w:t>Identification of strengths and aspects that need to be improved and priorities for improvement:</w:t>
      </w:r>
    </w:p>
    <w:p w14:paraId="4700A9DC" w14:textId="76D9FF4C" w:rsidR="00FE0219" w:rsidRPr="004A133C" w:rsidRDefault="00FE0219" w:rsidP="00F8251E">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NoSpacing"/>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NoSpacing"/>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NoSpacing"/>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Heading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Heading1"/>
        <w:spacing w:line="240" w:lineRule="auto"/>
        <w:rPr>
          <w:lang w:val="en-US" w:bidi="ar-EG"/>
        </w:rPr>
      </w:pPr>
      <w:bookmarkStart w:id="10" w:name="_Toc532385887"/>
      <w:bookmarkStart w:id="11" w:name="_Toc532386004"/>
      <w:bookmarkStart w:id="12" w:name="_Toc534615600"/>
      <w:r w:rsidRPr="004A133C">
        <w:rPr>
          <w:lang w:bidi="ar-LB"/>
        </w:rPr>
        <w:lastRenderedPageBreak/>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Heading1"/>
      </w:pPr>
      <w:bookmarkStart w:id="13" w:name="_Toc532385888"/>
      <w:bookmarkStart w:id="14" w:name="_Toc532386005"/>
      <w:bookmarkStart w:id="15" w:name="_Toc534615601"/>
      <w:r w:rsidRPr="004A133C">
        <w:rPr>
          <w:lang w:bidi="ar-LB"/>
        </w:rPr>
        <w:lastRenderedPageBreak/>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The program must have effective leadership that implements the institutional systems, policies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The program has the sufficient number of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lastRenderedPageBreak/>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677E18">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lastRenderedPageBreak/>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Heading1"/>
        <w:rPr>
          <w:rtl/>
          <w:lang w:bidi="ar-EG"/>
        </w:rPr>
      </w:pPr>
      <w:bookmarkStart w:id="22" w:name="_Toc534615602"/>
      <w:r w:rsidRPr="004A133C">
        <w:lastRenderedPageBreak/>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mission, and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creativity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outcomes, and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is committed to the institutional policies, standards, and procedures in the design, development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curriculum design considers fulfilling the program goals and learning outcomes, and the educational, scientific, technical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 xml:space="preserve">The learning outcomes of the courses and research activities are aligned with the program learning </w:t>
            </w:r>
            <w:r w:rsidRPr="00D34618">
              <w:rPr>
                <w:rFonts w:asciiTheme="majorBidi" w:hAnsiTheme="majorBidi" w:cstheme="majorBidi"/>
                <w:b/>
                <w:bCs/>
                <w:sz w:val="20"/>
                <w:szCs w:val="20"/>
              </w:rPr>
              <w:lastRenderedPageBreak/>
              <w:t>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lastRenderedPageBreak/>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learning outcomes of the field experience activities (if any)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applies mechanisms to support and stimulate excellence in teaching and scientific supervision, and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lastRenderedPageBreak/>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Heading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Heading1"/>
        <w:rPr>
          <w:rtl/>
          <w:lang w:bidi="ar-EG"/>
        </w:rPr>
      </w:pPr>
      <w:bookmarkStart w:id="29" w:name="_Toc534615603"/>
      <w:r w:rsidRPr="004A133C">
        <w:rPr>
          <w:lang w:bidi="ar-LB"/>
        </w:rPr>
        <w:lastRenderedPageBreak/>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counseling services to its students, and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has approved and publicly disclosed criteria and requirements for the admission and registration of students that are appropriate to the nature of the program, and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Students are provided with effective academic, professional, psychological, and social guidance, and counseling services through qualified and sufficient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7C18AC8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takes into consideration the special needs of its students (e.g., students with </w:t>
            </w:r>
            <w:r w:rsidR="00675BA5" w:rsidRPr="00675BA5">
              <w:rPr>
                <w:rFonts w:asciiTheme="majorBidi" w:hAnsiTheme="majorBidi" w:cstheme="majorBidi"/>
                <w:sz w:val="20"/>
                <w:szCs w:val="20"/>
              </w:rPr>
              <w:t>disabilities</w:t>
            </w:r>
            <w:r w:rsidR="00675BA5">
              <w:rPr>
                <w:rFonts w:asciiTheme="majorBidi" w:hAnsiTheme="majorBidi" w:cstheme="majorBidi"/>
                <w:sz w:val="20"/>
                <w:szCs w:val="20"/>
              </w:rPr>
              <w:t xml:space="preserve"> </w:t>
            </w:r>
            <w:r w:rsidRPr="007217A5">
              <w:rPr>
                <w:rFonts w:asciiTheme="majorBidi" w:hAnsiTheme="majorBidi" w:cstheme="majorBidi"/>
                <w:sz w:val="20"/>
                <w:szCs w:val="20"/>
              </w:rPr>
              <w:t>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lastRenderedPageBreak/>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Heading1"/>
        <w:rPr>
          <w:rtl/>
          <w:lang w:bidi="ar-EG"/>
        </w:rPr>
      </w:pPr>
      <w:bookmarkStart w:id="32" w:name="_Toc534615604"/>
      <w:r w:rsidRPr="004A133C">
        <w:rPr>
          <w:lang w:val="en-US" w:bidi="ar-LB"/>
        </w:rPr>
        <w:lastRenderedPageBreak/>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The program must have sufficient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program applies appropriate recruitment policies and procedures to attract faculty members, and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program has a sufficient number of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lastRenderedPageBreak/>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Heading1"/>
        <w:rPr>
          <w:rtl/>
          <w:lang w:bidi="ar-EG"/>
        </w:rPr>
      </w:pPr>
      <w:bookmarkStart w:id="33" w:name="_Toc532385892"/>
      <w:bookmarkStart w:id="34" w:name="_Toc532386009"/>
      <w:bookmarkStart w:id="35" w:name="_Toc534615605"/>
      <w:r w:rsidRPr="004A133C">
        <w:rPr>
          <w:lang w:bidi="ar-LB"/>
        </w:rPr>
        <w:lastRenderedPageBreak/>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The program has laboratories, computer and technology equipment, and  materials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All general and occupational health and safety requirements are available in the facilities, equipment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sufficient number of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478BC84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w:t>
            </w:r>
            <w:r w:rsidR="00675BA5" w:rsidRPr="00675BA5">
              <w:rPr>
                <w:rFonts w:asciiTheme="majorBidi" w:hAnsiTheme="majorBidi" w:cstheme="majorBidi"/>
                <w:sz w:val="20"/>
                <w:szCs w:val="20"/>
              </w:rPr>
              <w:t>disabilities</w:t>
            </w:r>
            <w:r w:rsidRPr="00012BEE">
              <w:rPr>
                <w:rFonts w:asciiTheme="majorBidi" w:hAnsiTheme="majorBidi" w:cstheme="majorBidi"/>
                <w:sz w:val="20"/>
                <w:szCs w:val="20"/>
              </w:rPr>
              <w:t xml:space="preserve">.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lastRenderedPageBreak/>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Heading1"/>
        <w:rPr>
          <w:rtl/>
          <w:lang w:bidi="ar-EG"/>
        </w:rPr>
      </w:pPr>
      <w:r>
        <w:rPr>
          <w:lang w:bidi="ar-LB"/>
        </w:rPr>
        <w:lastRenderedPageBreak/>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has clear, publicized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 xml:space="preserve">The program follows the commitment of researchers to the regulations  and ethics of </w:t>
            </w:r>
            <w:r w:rsidRPr="001306B1">
              <w:rPr>
                <w:rFonts w:asciiTheme="majorBidi" w:hAnsiTheme="majorBidi" w:cstheme="majorBidi"/>
                <w:b/>
                <w:bCs/>
                <w:sz w:val="20"/>
                <w:szCs w:val="20"/>
              </w:rPr>
              <w:lastRenderedPageBreak/>
              <w:t>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lastRenderedPageBreak/>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19DFC" w14:textId="77777777" w:rsidR="0053196F" w:rsidRDefault="0053196F" w:rsidP="00141069">
      <w:pPr>
        <w:spacing w:after="0" w:line="240" w:lineRule="auto"/>
      </w:pPr>
      <w:r>
        <w:separator/>
      </w:r>
    </w:p>
  </w:endnote>
  <w:endnote w:type="continuationSeparator" w:id="0">
    <w:p w14:paraId="57BC3805" w14:textId="77777777" w:rsidR="0053196F" w:rsidRDefault="0053196F"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Times New Roman"/>
    <w:charset w:val="00"/>
    <w:family w:val="auto"/>
    <w:pitch w:val="variable"/>
    <w:sig w:usb0="00000000" w:usb1="80000000" w:usb2="000001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0112116"/>
      <w:docPartObj>
        <w:docPartGallery w:val="Page Numbers (Bottom of Page)"/>
        <w:docPartUnique/>
      </w:docPartObj>
    </w:sdtPr>
    <w:sdtEndPr/>
    <w:sdtContent>
      <w:p w14:paraId="4738FFE7" w14:textId="17003E92" w:rsidR="000266EC" w:rsidRPr="00A77002" w:rsidRDefault="00F148B4" w:rsidP="00F148B4">
        <w:pPr>
          <w:pStyle w:val="Footer"/>
          <w:rPr>
            <w:rStyle w:val="PageNumber"/>
            <w:rtl/>
          </w:rPr>
        </w:pPr>
        <w:r>
          <w:rPr>
            <w:noProof/>
          </w:rPr>
          <w:drawing>
            <wp:anchor distT="0" distB="0" distL="114300" distR="114300" simplePos="0" relativeHeight="251660288" behindDoc="1" locked="0" layoutInCell="1" allowOverlap="1" wp14:anchorId="5B9108A0" wp14:editId="451E77AE">
              <wp:simplePos x="0" y="0"/>
              <wp:positionH relativeFrom="column">
                <wp:posOffset>-718820</wp:posOffset>
              </wp:positionH>
              <wp:positionV relativeFrom="paragraph">
                <wp:posOffset>-374015</wp:posOffset>
              </wp:positionV>
              <wp:extent cx="7308850" cy="761365"/>
              <wp:effectExtent l="0" t="0" r="635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F63AA0F" wp14:editId="7F6D2FA4">
                  <wp:simplePos x="0" y="0"/>
                  <wp:positionH relativeFrom="column">
                    <wp:posOffset>-592455</wp:posOffset>
                  </wp:positionH>
                  <wp:positionV relativeFrom="paragraph">
                    <wp:posOffset>-193040</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6DCA4848" w14:textId="3E97F8F9" w:rsidR="00F148B4" w:rsidRPr="00705C7E" w:rsidRDefault="00F148B4" w:rsidP="00F148B4">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41AF4">
                                <w:rPr>
                                  <w:rFonts w:ascii="DIN Next LT W23" w:hAnsi="DIN Next LT W23" w:cs="DIN Next LT W23"/>
                                  <w:noProof/>
                                  <w:color w:val="FFFFFF" w:themeColor="background1"/>
                                  <w:sz w:val="28"/>
                                  <w:szCs w:val="28"/>
                                </w:rPr>
                                <w:t>29</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3AA0F" id="_x0000_t202" coordsize="21600,21600" o:spt="202" path="m,l,21600r21600,l21600,xe">
                  <v:stroke joinstyle="miter"/>
                  <v:path gradientshapeok="t" o:connecttype="rect"/>
                </v:shapetype>
                <v:shape id="Text Box 5" o:spid="_x0000_s1026" type="#_x0000_t202" style="position:absolute;left:0;text-align:left;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DVA8UcMQIAAFoEAAAOAAAAAAAAAAAAAAAAAC4C&#10;AABkcnMvZTJvRG9jLnhtbFBLAQItABQABgAIAAAAIQDoY/Ix3gAAAAkBAAAPAAAAAAAAAAAAAAAA&#10;AIsEAABkcnMvZG93bnJldi54bWxQSwUGAAAAAAQABADzAAAAlgUAAAAA&#10;" filled="f" stroked="f" strokeweight=".5pt">
                  <v:textbox>
                    <w:txbxContent>
                      <w:p w14:paraId="6DCA4848" w14:textId="3E97F8F9" w:rsidR="00F148B4" w:rsidRPr="00705C7E" w:rsidRDefault="00F148B4" w:rsidP="00F148B4">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41AF4">
                          <w:rPr>
                            <w:rFonts w:ascii="DIN Next LT W23" w:hAnsi="DIN Next LT W23" w:cs="DIN Next LT W23"/>
                            <w:noProof/>
                            <w:color w:val="FFFFFF" w:themeColor="background1"/>
                            <w:sz w:val="28"/>
                            <w:szCs w:val="28"/>
                          </w:rPr>
                          <w:t>29</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503B0" w14:textId="77777777" w:rsidR="0053196F" w:rsidRDefault="0053196F" w:rsidP="00141069">
      <w:pPr>
        <w:spacing w:after="0" w:line="240" w:lineRule="auto"/>
      </w:pPr>
      <w:r>
        <w:separator/>
      </w:r>
    </w:p>
  </w:footnote>
  <w:footnote w:type="continuationSeparator" w:id="0">
    <w:p w14:paraId="4A6F1796" w14:textId="77777777" w:rsidR="0053196F" w:rsidRDefault="0053196F"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0266EC" w:rsidRDefault="000266EC">
    <w:pPr>
      <w:pStyle w:val="Header"/>
    </w:pPr>
    <w:r>
      <w:rPr>
        <w:noProof/>
      </w:rPr>
      <w:drawing>
        <wp:anchor distT="0" distB="0" distL="114300" distR="114300" simplePos="0" relativeHeight="251656192" behindDoc="1" locked="0" layoutInCell="1" allowOverlap="1" wp14:anchorId="02782F36" wp14:editId="1BD1191E">
          <wp:simplePos x="0" y="0"/>
          <wp:positionH relativeFrom="column">
            <wp:posOffset>-645662</wp:posOffset>
          </wp:positionH>
          <wp:positionV relativeFrom="paragraph">
            <wp:posOffset>-172991</wp:posOffset>
          </wp:positionV>
          <wp:extent cx="7380610" cy="10437611"/>
          <wp:effectExtent l="0" t="0" r="0" b="1905"/>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0" cy="104376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1AF4"/>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196F"/>
    <w:rsid w:val="005321F0"/>
    <w:rsid w:val="00532F54"/>
    <w:rsid w:val="00534272"/>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5BA5"/>
    <w:rsid w:val="00676A6B"/>
    <w:rsid w:val="00677E18"/>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3E9B"/>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01F57"/>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48B4"/>
    <w:rsid w:val="00F1554B"/>
    <w:rsid w:val="00F21C21"/>
    <w:rsid w:val="00F2496B"/>
    <w:rsid w:val="00F26336"/>
    <w:rsid w:val="00F30818"/>
    <w:rsid w:val="00F31D0B"/>
    <w:rsid w:val="00F329E4"/>
    <w:rsid w:val="00F35837"/>
    <w:rsid w:val="00F35AC1"/>
    <w:rsid w:val="00F4111F"/>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5D9"/>
    <w:pPr>
      <w:bidi/>
    </w:pPr>
  </w:style>
  <w:style w:type="paragraph" w:styleId="Heading1">
    <w:name w:val="heading 1"/>
    <w:basedOn w:val="Normal"/>
    <w:next w:val="Normal"/>
    <w:link w:val="Heading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Heading2">
    <w:name w:val="heading 2"/>
    <w:basedOn w:val="Normal"/>
    <w:next w:val="Normal"/>
    <w:link w:val="Heading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226"/>
    <w:rPr>
      <w:rFonts w:ascii="Times New Roman" w:eastAsia="Times New Roman" w:hAnsi="Times New Roman" w:cs="Sakkal Majalla"/>
      <w:b/>
      <w:bCs/>
      <w:color w:val="C00000"/>
      <w:sz w:val="28"/>
      <w:szCs w:val="32"/>
      <w:lang w:val="en-GB"/>
    </w:rPr>
  </w:style>
  <w:style w:type="character" w:customStyle="1" w:styleId="Heading2Char">
    <w:name w:val="Heading 2 Char"/>
    <w:basedOn w:val="DefaultParagraphFont"/>
    <w:link w:val="Heading2"/>
    <w:uiPriority w:val="9"/>
    <w:rsid w:val="009D3B91"/>
    <w:rPr>
      <w:rFonts w:asciiTheme="majorBidi" w:eastAsiaTheme="majorEastAsia" w:hAnsiTheme="majorBidi" w:cstheme="majorBidi"/>
      <w:b/>
      <w:bCs/>
      <w:color w:val="C00000"/>
      <w:sz w:val="26"/>
      <w:szCs w:val="26"/>
      <w:lang w:val="en-GB" w:bidi="ar-LB"/>
    </w:rPr>
  </w:style>
  <w:style w:type="table" w:styleId="TableGrid">
    <w:name w:val="Table Grid"/>
    <w:basedOn w:val="TableNormal"/>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7738"/>
    <w:rPr>
      <w:sz w:val="16"/>
      <w:szCs w:val="16"/>
    </w:rPr>
  </w:style>
  <w:style w:type="paragraph" w:styleId="CommentText">
    <w:name w:val="annotation text"/>
    <w:basedOn w:val="Normal"/>
    <w:link w:val="CommentTextChar"/>
    <w:uiPriority w:val="99"/>
    <w:semiHidden/>
    <w:unhideWhenUsed/>
    <w:rsid w:val="00A07738"/>
    <w:pPr>
      <w:spacing w:line="240" w:lineRule="auto"/>
    </w:pPr>
    <w:rPr>
      <w:sz w:val="20"/>
      <w:szCs w:val="20"/>
    </w:rPr>
  </w:style>
  <w:style w:type="character" w:customStyle="1" w:styleId="CommentTextChar">
    <w:name w:val="Comment Text Char"/>
    <w:basedOn w:val="DefaultParagraphFont"/>
    <w:link w:val="CommentText"/>
    <w:uiPriority w:val="99"/>
    <w:semiHidden/>
    <w:rsid w:val="00A07738"/>
    <w:rPr>
      <w:sz w:val="20"/>
      <w:szCs w:val="20"/>
    </w:rPr>
  </w:style>
  <w:style w:type="paragraph" w:styleId="CommentSubject">
    <w:name w:val="annotation subject"/>
    <w:basedOn w:val="CommentText"/>
    <w:next w:val="CommentText"/>
    <w:link w:val="CommentSubjectChar"/>
    <w:uiPriority w:val="99"/>
    <w:semiHidden/>
    <w:unhideWhenUsed/>
    <w:rsid w:val="00A07738"/>
    <w:rPr>
      <w:b/>
      <w:bCs/>
    </w:rPr>
  </w:style>
  <w:style w:type="character" w:customStyle="1" w:styleId="CommentSubjectChar">
    <w:name w:val="Comment Subject Char"/>
    <w:basedOn w:val="CommentTextChar"/>
    <w:link w:val="CommentSubject"/>
    <w:uiPriority w:val="99"/>
    <w:semiHidden/>
    <w:rsid w:val="00A07738"/>
    <w:rPr>
      <w:b/>
      <w:bCs/>
      <w:sz w:val="20"/>
      <w:szCs w:val="20"/>
    </w:rPr>
  </w:style>
  <w:style w:type="paragraph" w:styleId="BalloonText">
    <w:name w:val="Balloon Text"/>
    <w:basedOn w:val="Normal"/>
    <w:link w:val="BalloonTextChar"/>
    <w:uiPriority w:val="99"/>
    <w:semiHidden/>
    <w:unhideWhenUsed/>
    <w:rsid w:val="00A0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38"/>
    <w:rPr>
      <w:rFonts w:ascii="Segoe UI" w:hAnsi="Segoe UI" w:cs="Segoe UI"/>
      <w:sz w:val="18"/>
      <w:szCs w:val="18"/>
    </w:rPr>
  </w:style>
  <w:style w:type="paragraph" w:styleId="Revision">
    <w:name w:val="Revision"/>
    <w:hidden/>
    <w:uiPriority w:val="99"/>
    <w:semiHidden/>
    <w:rsid w:val="004E284F"/>
    <w:pPr>
      <w:spacing w:after="0" w:line="240" w:lineRule="auto"/>
    </w:pPr>
  </w:style>
  <w:style w:type="paragraph" w:styleId="ListParagraph">
    <w:name w:val="List Paragraph"/>
    <w:basedOn w:val="Normal"/>
    <w:link w:val="ListParagraphChar"/>
    <w:uiPriority w:val="34"/>
    <w:qFormat/>
    <w:rsid w:val="00487D01"/>
    <w:pPr>
      <w:ind w:left="720"/>
      <w:contextualSpacing/>
    </w:pPr>
  </w:style>
  <w:style w:type="character" w:customStyle="1" w:styleId="ListParagraphChar">
    <w:name w:val="List Paragraph Char"/>
    <w:link w:val="ListParagraph"/>
    <w:uiPriority w:val="34"/>
    <w:locked/>
    <w:rsid w:val="0081462C"/>
  </w:style>
  <w:style w:type="paragraph" w:styleId="Header">
    <w:name w:val="header"/>
    <w:basedOn w:val="Normal"/>
    <w:link w:val="HeaderChar"/>
    <w:unhideWhenUsed/>
    <w:rsid w:val="00141069"/>
    <w:pPr>
      <w:tabs>
        <w:tab w:val="center" w:pos="4153"/>
        <w:tab w:val="right" w:pos="8306"/>
      </w:tabs>
      <w:spacing w:after="0" w:line="240" w:lineRule="auto"/>
    </w:pPr>
  </w:style>
  <w:style w:type="character" w:customStyle="1" w:styleId="HeaderChar">
    <w:name w:val="Header Char"/>
    <w:basedOn w:val="DefaultParagraphFont"/>
    <w:link w:val="Header"/>
    <w:rsid w:val="00141069"/>
  </w:style>
  <w:style w:type="paragraph" w:styleId="Footer">
    <w:name w:val="footer"/>
    <w:basedOn w:val="Normal"/>
    <w:link w:val="FooterChar"/>
    <w:uiPriority w:val="99"/>
    <w:unhideWhenUsed/>
    <w:rsid w:val="00141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1069"/>
  </w:style>
  <w:style w:type="character" w:styleId="PageNumber">
    <w:name w:val="page number"/>
    <w:basedOn w:val="DefaultParagraphFont"/>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Title"/>
    <w:link w:val="NCAAAT1Char"/>
    <w:qFormat/>
    <w:rsid w:val="009149B7"/>
    <w:rPr>
      <w:sz w:val="32"/>
      <w:szCs w:val="32"/>
    </w:rPr>
  </w:style>
  <w:style w:type="character" w:customStyle="1" w:styleId="NCAAAT1Char">
    <w:name w:val="NCAAA T1 Char"/>
    <w:basedOn w:val="TitleChar"/>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TOCHeading">
    <w:name w:val="TOC Heading"/>
    <w:basedOn w:val="Heading1"/>
    <w:next w:val="Normal"/>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TOC1">
    <w:name w:val="toc 1"/>
    <w:basedOn w:val="Normal"/>
    <w:next w:val="Normal"/>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DefaultParagraphFont"/>
    <w:uiPriority w:val="99"/>
    <w:unhideWhenUsed/>
    <w:rsid w:val="00BC2F3E"/>
    <w:rPr>
      <w:color w:val="0000FF" w:themeColor="hyperlink"/>
      <w:u w:val="single"/>
    </w:rPr>
  </w:style>
  <w:style w:type="paragraph" w:styleId="TOC2">
    <w:name w:val="toc 2"/>
    <w:basedOn w:val="Normal"/>
    <w:next w:val="Normal"/>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
    <w:name w:val="شبكة جدول1"/>
    <w:basedOn w:val="TableNormal"/>
    <w:next w:val="TableGrid"/>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C12"/>
    <w:pPr>
      <w:bidi/>
      <w:spacing w:after="0" w:line="240" w:lineRule="auto"/>
    </w:pPr>
  </w:style>
  <w:style w:type="paragraph" w:styleId="FootnoteText">
    <w:name w:val="footnote text"/>
    <w:basedOn w:val="Normal"/>
    <w:link w:val="FootnoteTextChar"/>
    <w:uiPriority w:val="99"/>
    <w:semiHidden/>
    <w:unhideWhenUsed/>
    <w:rsid w:val="003362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2AC"/>
    <w:rPr>
      <w:sz w:val="20"/>
      <w:szCs w:val="20"/>
    </w:rPr>
  </w:style>
  <w:style w:type="character" w:styleId="FootnoteReference">
    <w:name w:val="footnote reference"/>
    <w:basedOn w:val="DefaultParagraphFont"/>
    <w:uiPriority w:val="99"/>
    <w:semiHidden/>
    <w:unhideWhenUsed/>
    <w:rsid w:val="003362AC"/>
    <w:rPr>
      <w:vertAlign w:val="superscript"/>
    </w:rPr>
  </w:style>
  <w:style w:type="paragraph" w:styleId="TOC3">
    <w:name w:val="toc 3"/>
    <w:basedOn w:val="Normal"/>
    <w:next w:val="Normal"/>
    <w:autoRedefine/>
    <w:uiPriority w:val="39"/>
    <w:unhideWhenUsed/>
    <w:rsid w:val="0031413F"/>
    <w:pPr>
      <w:spacing w:after="0"/>
      <w:ind w:left="440"/>
    </w:pPr>
    <w:rPr>
      <w:rFonts w:cstheme="minorHAnsi"/>
      <w:i/>
      <w:iCs/>
      <w:sz w:val="20"/>
      <w:szCs w:val="24"/>
    </w:rPr>
  </w:style>
  <w:style w:type="paragraph" w:styleId="TOC4">
    <w:name w:val="toc 4"/>
    <w:basedOn w:val="Normal"/>
    <w:next w:val="Normal"/>
    <w:autoRedefine/>
    <w:uiPriority w:val="39"/>
    <w:unhideWhenUsed/>
    <w:rsid w:val="007905E8"/>
    <w:pPr>
      <w:spacing w:after="0"/>
      <w:ind w:left="660"/>
    </w:pPr>
    <w:rPr>
      <w:rFonts w:cstheme="minorHAnsi"/>
      <w:sz w:val="18"/>
      <w:szCs w:val="21"/>
    </w:rPr>
  </w:style>
  <w:style w:type="paragraph" w:styleId="TOC5">
    <w:name w:val="toc 5"/>
    <w:basedOn w:val="Normal"/>
    <w:next w:val="Normal"/>
    <w:autoRedefine/>
    <w:uiPriority w:val="39"/>
    <w:unhideWhenUsed/>
    <w:rsid w:val="007905E8"/>
    <w:pPr>
      <w:spacing w:after="0"/>
      <w:ind w:left="880"/>
    </w:pPr>
    <w:rPr>
      <w:rFonts w:cstheme="minorHAnsi"/>
      <w:sz w:val="18"/>
      <w:szCs w:val="21"/>
    </w:rPr>
  </w:style>
  <w:style w:type="paragraph" w:styleId="TOC6">
    <w:name w:val="toc 6"/>
    <w:basedOn w:val="Normal"/>
    <w:next w:val="Normal"/>
    <w:autoRedefine/>
    <w:uiPriority w:val="39"/>
    <w:unhideWhenUsed/>
    <w:rsid w:val="007905E8"/>
    <w:pPr>
      <w:spacing w:after="0"/>
      <w:ind w:left="1100"/>
    </w:pPr>
    <w:rPr>
      <w:rFonts w:cstheme="minorHAnsi"/>
      <w:sz w:val="18"/>
      <w:szCs w:val="21"/>
    </w:rPr>
  </w:style>
  <w:style w:type="paragraph" w:styleId="TOC7">
    <w:name w:val="toc 7"/>
    <w:basedOn w:val="Normal"/>
    <w:next w:val="Normal"/>
    <w:autoRedefine/>
    <w:uiPriority w:val="39"/>
    <w:unhideWhenUsed/>
    <w:rsid w:val="007905E8"/>
    <w:pPr>
      <w:spacing w:after="0"/>
      <w:ind w:left="1320"/>
    </w:pPr>
    <w:rPr>
      <w:rFonts w:cstheme="minorHAnsi"/>
      <w:sz w:val="18"/>
      <w:szCs w:val="21"/>
    </w:rPr>
  </w:style>
  <w:style w:type="paragraph" w:styleId="TOC8">
    <w:name w:val="toc 8"/>
    <w:basedOn w:val="Normal"/>
    <w:next w:val="Normal"/>
    <w:autoRedefine/>
    <w:uiPriority w:val="39"/>
    <w:unhideWhenUsed/>
    <w:rsid w:val="007905E8"/>
    <w:pPr>
      <w:spacing w:after="0"/>
      <w:ind w:left="1540"/>
    </w:pPr>
    <w:rPr>
      <w:rFonts w:cstheme="minorHAnsi"/>
      <w:sz w:val="18"/>
      <w:szCs w:val="21"/>
    </w:rPr>
  </w:style>
  <w:style w:type="paragraph" w:styleId="TOC9">
    <w:name w:val="toc 9"/>
    <w:basedOn w:val="Normal"/>
    <w:next w:val="Normal"/>
    <w:autoRedefine/>
    <w:uiPriority w:val="39"/>
    <w:unhideWhenUsed/>
    <w:rsid w:val="007905E8"/>
    <w:pPr>
      <w:spacing w:after="0"/>
      <w:ind w:left="1760"/>
    </w:pPr>
    <w:rPr>
      <w:rFonts w:cstheme="minorHAnsi"/>
      <w:sz w:val="18"/>
      <w:szCs w:val="21"/>
    </w:rPr>
  </w:style>
  <w:style w:type="character" w:styleId="FollowedHyperlink">
    <w:name w:val="FollowedHyperlink"/>
    <w:basedOn w:val="DefaultParagraphFont"/>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DE73-BFF2-4F8A-8097-4DE4876F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7304</Words>
  <Characters>41634</Characters>
  <Application>Microsoft Office Word</Application>
  <DocSecurity>0</DocSecurity>
  <Lines>346</Lines>
  <Paragraphs>97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Teay Shawyun</cp:lastModifiedBy>
  <cp:revision>2</cp:revision>
  <cp:lastPrinted>2020-05-07T14:50:00Z</cp:lastPrinted>
  <dcterms:created xsi:type="dcterms:W3CDTF">2020-09-21T08:00:00Z</dcterms:created>
  <dcterms:modified xsi:type="dcterms:W3CDTF">2020-09-21T08:00:00Z</dcterms:modified>
</cp:coreProperties>
</file>